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b w:val="1"/>
          <w:bCs w:val="1"/>
          <w:sz w:val="32"/>
          <w:szCs w:val="32"/>
        </w:rPr>
      </w:pPr>
    </w:p>
    <w:p>
      <w:pPr>
        <w:pStyle w:val="Corpo"/>
        <w:rPr>
          <w:b w:val="1"/>
          <w:bCs w:val="1"/>
          <w:sz w:val="32"/>
          <w:szCs w:val="32"/>
        </w:rPr>
      </w:pPr>
    </w:p>
    <w:p>
      <w:pPr>
        <w:pStyle w:val="Corp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Lista di sostanze pericolose</w:t>
      </w:r>
    </w:p>
    <w:p>
      <w:pPr>
        <w:pStyle w:val="Corpo"/>
        <w:bidi w:val="0"/>
      </w:pPr>
      <w:r>
        <w:rPr>
          <w:rFonts w:ascii="Hoefler Text" w:cs="Arial Unicode MS" w:hAnsi="Arial Unicode MS" w:eastAsia="Arial Unicode MS"/>
          <w:rtl w:val="0"/>
          <w:lang w:val="it-IT"/>
        </w:rPr>
        <w:t xml:space="preserve">imidazolidinyl urea, diazolidinyl urea, DMDM hydantoin sodium hydroxymethylglycinate, 2-Br-2 nitropropene-1,3 diol: sono dei conservanti, cessori di formaldeide. </w:t>
      </w:r>
    </w:p>
    <w:p>
      <w:pPr>
        <w:pStyle w:val="Corpo"/>
        <w:bidi w:val="0"/>
      </w:pPr>
      <w:r>
        <w:rPr>
          <w:rFonts w:ascii="Hoefler Text" w:cs="Arial Unicode MS" w:hAnsi="Arial Unicode MS" w:eastAsia="Arial Unicode MS"/>
          <w:rtl w:val="0"/>
          <w:lang w:val="it-IT"/>
        </w:rPr>
        <w:t xml:space="preserve">La formaldeide </w:t>
      </w:r>
      <w:r>
        <w:rPr>
          <w:rFonts w:ascii="Arial Unicode MS" w:cs="Arial Unicode MS" w:hAnsi="Hoefler Text" w:eastAsia="Arial Unicode MS" w:hint="default"/>
          <w:rtl w:val="0"/>
          <w:lang w:val="it-IT"/>
        </w:rPr>
        <w:t xml:space="preserve">è </w:t>
      </w:r>
      <w:r>
        <w:rPr>
          <w:rFonts w:ascii="Hoefler Text" w:cs="Arial Unicode MS" w:hAnsi="Arial Unicode MS" w:eastAsia="Arial Unicode MS"/>
          <w:rtl w:val="0"/>
          <w:lang w:val="it-IT"/>
        </w:rPr>
        <w:t>un cancerogeno accertato come l'amianto (CMR categoria 1)(**). Questi prodotti rilasciano sempre un po' di formaldeide che uccide i batteri e si consuma. Dopodich</w:t>
      </w:r>
      <w:r>
        <w:rPr>
          <w:rFonts w:ascii="Arial Unicode MS" w:cs="Arial Unicode MS" w:hAnsi="Hoefler Text" w:eastAsia="Arial Unicode MS" w:hint="default"/>
          <w:rtl w:val="0"/>
        </w:rPr>
        <w:t xml:space="preserve">é </w:t>
      </w:r>
      <w:r>
        <w:rPr>
          <w:rFonts w:ascii="Hoefler Text" w:cs="Arial Unicode MS" w:hAnsi="Arial Unicode MS" w:eastAsia="Arial Unicode MS"/>
          <w:rtl w:val="0"/>
          <w:lang w:val="it-IT"/>
        </w:rPr>
        <w:t>si decompongono per ripristinare l'equilibrio cedendo altra formaldeide (quindi attenzione ai prodotti aperti da molto tempo!)</w:t>
      </w:r>
    </w:p>
    <w:p>
      <w:pPr>
        <w:pStyle w:val="Corpo"/>
        <w:bidi w:val="0"/>
      </w:pPr>
      <w:r>
        <w:rPr>
          <w:rFonts w:ascii="Hoefler Text" w:cs="Arial Unicode MS" w:hAnsi="Arial Unicode MS" w:eastAsia="Arial Unicode MS"/>
          <w:b w:val="1"/>
          <w:bCs w:val="1"/>
          <w:rtl w:val="0"/>
        </w:rPr>
        <w:t xml:space="preserve">petrolati </w:t>
      </w:r>
      <w:r>
        <w:rPr>
          <w:rFonts w:ascii="Hoefler Text" w:cs="Arial Unicode MS" w:hAnsi="Arial Unicode MS" w:eastAsia="Arial Unicode MS"/>
          <w:rtl w:val="0"/>
          <w:lang w:val="it-IT"/>
        </w:rPr>
        <w:t>(paraffinum liquidum, paraffin, petrolatum, ceresin, vaselina): sono occlusivi (bloccano la traspirazione cutanea), non sono dermocompatibili e sono facilmente sostituibili da sostanze vegetali. Ma sono molto utilizzati perch</w:t>
      </w:r>
      <w:r>
        <w:rPr>
          <w:rFonts w:ascii="Arial Unicode MS" w:cs="Arial Unicode MS" w:hAnsi="Hoefler Text" w:eastAsia="Arial Unicode MS" w:hint="default"/>
          <w:rtl w:val="0"/>
        </w:rPr>
        <w:t xml:space="preserve">é </w:t>
      </w:r>
      <w:r>
        <w:rPr>
          <w:rFonts w:ascii="Hoefler Text" w:cs="Arial Unicode MS" w:hAnsi="Arial Unicode MS" w:eastAsia="Arial Unicode MS"/>
          <w:rtl w:val="0"/>
          <w:lang w:val="it-IT"/>
        </w:rPr>
        <w:t>non irrancidiscono, non danno allergie e sono tra le sostanze meno costose e pi</w:t>
      </w:r>
      <w:r>
        <w:rPr>
          <w:rFonts w:ascii="Arial Unicode MS" w:cs="Arial Unicode MS" w:hAnsi="Hoefler Text" w:eastAsia="Arial Unicode MS" w:hint="default"/>
          <w:rtl w:val="0"/>
          <w:lang w:val="it-IT"/>
        </w:rPr>
        <w:t xml:space="preserve">ù </w:t>
      </w:r>
      <w:r>
        <w:rPr>
          <w:rFonts w:ascii="Hoefler Text" w:cs="Arial Unicode MS" w:hAnsi="Arial Unicode MS" w:eastAsia="Arial Unicode MS"/>
          <w:rtl w:val="0"/>
          <w:lang w:val="it-IT"/>
        </w:rPr>
        <w:t xml:space="preserve">stabili in cosmetica. Sono classificati cancerogeni CMR 2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5549900</wp:posOffset>
                </wp:positionV>
                <wp:extent cx="1752600" cy="749300"/>
                <wp:effectExtent l="0" t="0" r="0" b="0"/>
                <wp:wrapSquare wrapText="bothSides" distL="152400" distR="152400"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4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1.0pt;margin-top:437.0pt;width:138.0pt;height:5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698242</wp:posOffset>
                </wp:positionV>
                <wp:extent cx="5905500" cy="635516"/>
                <wp:effectExtent l="0" t="0" r="0" b="0"/>
                <wp:wrapSquare wrapText="bothSides" distL="152400" distR="152400"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35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tichetta scura"/>
                              <w:jc w:val="left"/>
                            </w:pPr>
                            <w:r>
                              <w:rPr>
                                <w:rStyle w:val="Enfasi"/>
                                <w:i w:val="1"/>
                                <w:iCs w:val="1"/>
                                <w:color w:val="ff4013"/>
                                <w:sz w:val="64"/>
                                <w:szCs w:val="64"/>
                                <w:rtl w:val="0"/>
                                <w:lang w:val="it-IT"/>
                              </w:rPr>
                              <w:t>La chimica in casa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9.5pt;margin-top:55.0pt;width:465.0pt;height:5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F7F7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  <w:jc w:val="left"/>
                      </w:pPr>
                      <w:r>
                        <w:rPr>
                          <w:rStyle w:val="Enfasi"/>
                          <w:i w:val="1"/>
                          <w:iCs w:val="1"/>
                          <w:color w:val="ff4013"/>
                          <w:sz w:val="64"/>
                          <w:szCs w:val="64"/>
                          <w:rtl w:val="0"/>
                          <w:lang w:val="it-IT"/>
                        </w:rPr>
                        <w:t>La chimica in casa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3403600</wp:posOffset>
                </wp:positionV>
                <wp:extent cx="1752600" cy="2520950"/>
                <wp:effectExtent l="0" t="0" r="0" b="0"/>
                <wp:wrapSquare wrapText="left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20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idascalia"/>
                              <w:jc w:val="center"/>
                            </w:pPr>
                            <w:r>
                              <w:rPr>
                                <w:color w:val="bc1e00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ATTENZIONE VERIFICARE SULLE CONFEZIONI CHE NON VI SIA LA PRESENZA DI QUESTE SOSTANZE.</w:t>
                            </w:r>
                            <w:r>
                              <w:rPr>
                                <w:color w:val="bc1e00"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9.0pt;margin-top:268.0pt;width:138.0pt;height:198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dascalia"/>
                        <w:jc w:val="center"/>
                      </w:pPr>
                      <w:r>
                        <w:rPr>
                          <w:color w:val="bc1e00"/>
                          <w:sz w:val="28"/>
                          <w:szCs w:val="28"/>
                          <w:rtl w:val="0"/>
                          <w:lang w:val="it-IT"/>
                        </w:rPr>
                        <w:t>ATTENZIONE VERIFICARE SULLE CONFEZIONI CHE NON VI SIA LA PRESENZA DI QUESTE SOSTANZE.</w:t>
                      </w:r>
                      <w:r>
                        <w:rPr>
                          <w:color w:val="bc1e00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square" side="left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986856</wp:posOffset>
            </wp:positionH>
            <wp:positionV relativeFrom="page">
              <wp:posOffset>1586821</wp:posOffset>
            </wp:positionV>
            <wp:extent cx="1651000" cy="8382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" descr="movie::file:///Users/antoninolamanna/Desktop/sostanze%20pericolse/Gymnopedie%20No%201.mp3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oefler Text" w:cs="Arial Unicode MS" w:hAnsi="Arial Unicode MS" w:eastAsia="Arial Unicode MS"/>
          <w:rtl w:val="0"/>
          <w:lang w:val="it-IT"/>
        </w:rPr>
        <w:t>dalla UE (***).</w:t>
      </w:r>
    </w:p>
    <w:p>
      <w:pPr>
        <w:pStyle w:val="Corpo"/>
        <w:bidi w:val="0"/>
      </w:pPr>
      <w:r>
        <w:rPr>
          <w:rFonts w:ascii="Hoefler Text" w:cs="Arial Unicode MS" w:hAnsi="Arial Unicode MS" w:eastAsia="Arial Unicode MS"/>
          <w:b w:val="1"/>
          <w:bCs w:val="1"/>
          <w:rtl w:val="0"/>
        </w:rPr>
        <w:t xml:space="preserve">DEA </w:t>
      </w:r>
      <w:r>
        <w:rPr>
          <w:rFonts w:ascii="Hoefler Text" w:cs="Arial Unicode MS" w:hAnsi="Arial Unicode MS" w:eastAsia="Arial Unicode MS"/>
          <w:rtl w:val="0"/>
          <w:lang w:val="it-IT"/>
        </w:rPr>
        <w:t>(dietilendiammina), MEA (metiletilendiammina), TEA (trietilendiammina), MIPA: sono emulsionanti, ripristinano il grasso tolto dal tensioattivo SLES, sono aggressivi sulla pelle, potrebbero formare nitrosoammine cancerogene in alcune condizioni.</w:t>
      </w:r>
    </w:p>
    <w:p>
      <w:pPr>
        <w:pStyle w:val="Corpo"/>
        <w:bidi w:val="0"/>
      </w:pPr>
      <w:r>
        <w:rPr>
          <w:rFonts w:ascii="Hoefler Text" w:cs="Arial Unicode MS" w:hAnsi="Arial Unicode MS" w:eastAsia="Arial Unicode MS"/>
          <w:b w:val="1"/>
          <w:bCs w:val="1"/>
          <w:rtl w:val="0"/>
        </w:rPr>
        <w:t>PEG</w:t>
      </w:r>
      <w:r>
        <w:rPr>
          <w:rFonts w:ascii="Hoefler Text" w:cs="Arial Unicode MS" w:hAnsi="Arial Unicode MS" w:eastAsia="Arial Unicode MS"/>
          <w:rtl w:val="0"/>
          <w:lang w:val="it-IT"/>
        </w:rPr>
        <w:t xml:space="preserve"> (emulsionanti, umettanti) PPG (emollienti): aumentano la permeabilit</w:t>
      </w:r>
      <w:r>
        <w:rPr>
          <w:rFonts w:ascii="Arial Unicode MS" w:cs="Arial Unicode MS" w:hAnsi="Hoefler Text" w:eastAsia="Arial Unicode MS" w:hint="default"/>
          <w:rtl w:val="0"/>
          <w:lang w:val="fr-FR"/>
        </w:rPr>
        <w:t xml:space="preserve">à </w:t>
      </w:r>
      <w:r>
        <w:rPr>
          <w:rFonts w:ascii="Hoefler Text" w:cs="Arial Unicode MS" w:hAnsi="Arial Unicode MS" w:eastAsia="Arial Unicode MS"/>
          <w:rtl w:val="0"/>
          <w:lang w:val="it-IT"/>
        </w:rPr>
        <w:t>della pelle (ma cos</w:t>
      </w:r>
      <w:r>
        <w:rPr>
          <w:rFonts w:ascii="Arial Unicode MS" w:cs="Arial Unicode MS" w:hAnsi="Hoefler Text" w:eastAsia="Arial Unicode MS" w:hint="default"/>
          <w:rtl w:val="0"/>
          <w:lang w:val="it-IT"/>
        </w:rPr>
        <w:t xml:space="preserve">ì </w:t>
      </w:r>
      <w:r>
        <w:rPr>
          <w:rFonts w:ascii="Hoefler Text" w:cs="Arial Unicode MS" w:hAnsi="Arial Unicode MS" w:eastAsia="Arial Unicode MS"/>
          <w:rtl w:val="0"/>
          <w:lang w:val="it-IT"/>
        </w:rPr>
        <w:t xml:space="preserve">passano anche tutte le altre schifezze presenti nel prodotto!) e sono derivati petroliferi </w:t>
      </w:r>
      <w:r>
        <w:rPr>
          <w:rFonts w:ascii="Arial Unicode MS" w:cs="Arial Unicode MS" w:hAnsi="Hoefler Text" w:eastAsia="Arial Unicode MS" w:hint="default"/>
          <w:rtl w:val="0"/>
        </w:rPr>
        <w:t>“</w:t>
      </w:r>
      <w:r>
        <w:rPr>
          <w:rFonts w:ascii="Hoefler Text" w:cs="Arial Unicode MS" w:hAnsi="Arial Unicode MS" w:eastAsia="Arial Unicode MS"/>
          <w:rtl w:val="0"/>
        </w:rPr>
        <w:t>etossilati</w:t>
      </w:r>
      <w:r>
        <w:rPr>
          <w:rFonts w:ascii="Arial Unicode MS" w:cs="Arial Unicode MS" w:hAnsi="Hoefler Text" w:eastAsia="Arial Unicode MS" w:hint="default"/>
          <w:rtl w:val="0"/>
        </w:rPr>
        <w:t>”</w:t>
      </w:r>
      <w:r>
        <w:rPr>
          <w:rFonts w:ascii="Hoefler Text" w:cs="Arial Unicode MS" w:hAnsi="Arial Unicode MS" w:eastAsia="Arial Unicode MS"/>
          <w:rtl w:val="0"/>
          <w:lang w:val="it-IT"/>
        </w:rPr>
        <w:t xml:space="preserve">. La molecola derivante dal petrolio </w:t>
      </w:r>
      <w:r>
        <w:rPr>
          <w:rFonts w:ascii="Arial Unicode MS" w:cs="Arial Unicode MS" w:hAnsi="Hoefler Text" w:eastAsia="Arial Unicode MS" w:hint="default"/>
          <w:rtl w:val="0"/>
          <w:lang w:val="it-IT"/>
        </w:rPr>
        <w:t xml:space="preserve">è </w:t>
      </w:r>
      <w:r>
        <w:rPr>
          <w:rFonts w:ascii="Hoefler Text" w:cs="Arial Unicode MS" w:hAnsi="Arial Unicode MS" w:eastAsia="Arial Unicode MS"/>
          <w:rtl w:val="0"/>
          <w:lang w:val="it-IT"/>
        </w:rPr>
        <w:t>l'ossido di etilene gassoso, il numero scritto vicino alla sigla PEG o PPG indica le molecole presenti. Durante la sintesi chimica della fabbricazione di queste sostanze, due molecole di ossido possono legarsi insieme e creare del diossano cancerogeno.</w:t>
      </w:r>
    </w:p>
    <w:p>
      <w:pPr>
        <w:pStyle w:val="Corpo"/>
        <w:bidi w:val="0"/>
      </w:pPr>
      <w:r>
        <w:rPr>
          <w:rFonts w:ascii="Hoefler Text" w:cs="Arial Unicode MS" w:hAnsi="Arial Unicode MS" w:eastAsia="Arial Unicode MS"/>
          <w:b w:val="1"/>
          <w:bCs w:val="1"/>
          <w:rtl w:val="0"/>
          <w:lang w:val="it-IT"/>
        </w:rPr>
        <w:t>BHT e BHA</w:t>
      </w:r>
      <w:r>
        <w:rPr>
          <w:rFonts w:ascii="Hoefler Text" w:cs="Arial Unicode MS" w:hAnsi="Arial Unicode MS" w:eastAsia="Arial Unicode MS"/>
          <w:rtl w:val="0"/>
          <w:lang w:val="it-IT"/>
        </w:rPr>
        <w:t>: antiossidanti e disturbatori endocrini (una buona vitamina E risolverebbe il problema senza effetti secondari!).</w:t>
      </w:r>
    </w:p>
    <w:p>
      <w:pPr>
        <w:pStyle w:val="Corpo"/>
        <w:bidi w:val="0"/>
      </w:pPr>
      <w:r>
        <w:rPr>
          <w:rFonts w:ascii="Hoefler Text" w:cs="Arial Unicode MS" w:hAnsi="Arial Unicode MS" w:eastAsia="Arial Unicode MS"/>
          <w:b w:val="1"/>
          <w:bCs w:val="1"/>
          <w:rtl w:val="0"/>
          <w:lang w:val="en-US"/>
        </w:rPr>
        <w:t xml:space="preserve">Triclosan: </w:t>
      </w:r>
      <w:r>
        <w:rPr>
          <w:rFonts w:ascii="Arial Unicode MS" w:cs="Arial Unicode MS" w:hAnsi="Hoefler Text" w:eastAsia="Arial Unicode MS" w:hint="default"/>
          <w:rtl w:val="0"/>
          <w:lang w:val="it-IT"/>
        </w:rPr>
        <w:t xml:space="preserve">è </w:t>
      </w:r>
      <w:r>
        <w:rPr>
          <w:rFonts w:ascii="Hoefler Text" w:cs="Arial Unicode MS" w:hAnsi="Arial Unicode MS" w:eastAsia="Arial Unicode MS"/>
          <w:rtl w:val="0"/>
          <w:lang w:val="it-IT"/>
        </w:rPr>
        <w:t xml:space="preserve">un antibatterico molto penetrante, </w:t>
      </w:r>
      <w:r>
        <w:rPr>
          <w:rFonts w:ascii="Arial Unicode MS" w:cs="Arial Unicode MS" w:hAnsi="Hoefler Text" w:eastAsia="Arial Unicode MS" w:hint="default"/>
          <w:rtl w:val="0"/>
          <w:lang w:val="it-IT"/>
        </w:rPr>
        <w:t xml:space="preserve">è </w:t>
      </w:r>
      <w:r>
        <w:rPr>
          <w:rFonts w:ascii="Hoefler Text" w:cs="Arial Unicode MS" w:hAnsi="Arial Unicode MS" w:eastAsia="Arial Unicode MS"/>
          <w:rtl w:val="0"/>
          <w:lang w:val="it-IT"/>
        </w:rPr>
        <w:t>stato trovato anche nel latte materno!</w:t>
      </w:r>
    </w:p>
    <w:p>
      <w:pPr>
        <w:pStyle w:val="Corpo"/>
        <w:bidi w:val="0"/>
      </w:pPr>
      <w:r>
        <w:rPr>
          <w:rFonts w:ascii="Hoefler Text" w:cs="Arial Unicode MS" w:hAnsi="Arial Unicode MS" w:eastAsia="Arial Unicode MS"/>
          <w:b w:val="1"/>
          <w:bCs w:val="1"/>
          <w:rtl w:val="0"/>
          <w:lang w:val="de-DE"/>
        </w:rPr>
        <w:t>Parabeni:</w:t>
      </w:r>
      <w:r>
        <w:rPr>
          <w:rFonts w:ascii="Arial Unicode MS" w:cs="Arial Unicode MS" w:hAnsi="Hoefler Text" w:eastAsia="Arial Unicode MS" w:hint="default"/>
          <w:rtl w:val="0"/>
          <w:lang w:val="it-IT"/>
        </w:rPr>
        <w:t xml:space="preserve"> è </w:t>
      </w:r>
      <w:r>
        <w:rPr>
          <w:rFonts w:ascii="Hoefler Text" w:cs="Arial Unicode MS" w:hAnsi="Arial Unicode MS" w:eastAsia="Arial Unicode MS"/>
          <w:rtl w:val="0"/>
          <w:lang w:val="it-IT"/>
        </w:rPr>
        <w:t>una famiglia di conservanti ancora sotto studio, quasi certamente propyl e buthylparaben sono cancerogeni.</w:t>
      </w:r>
      <w:r>
        <w:rPr>
          <w:sz w:val="22"/>
          <w:szCs w:val="22"/>
        </w:rPr>
      </w:r>
    </w:p>
    <w:sectPr>
      <w:headerReference w:type="default" r:id="rId5"/>
      <w:footerReference w:type="default" r:id="rId6"/>
      <w:pgSz w:w="11900" w:h="16840" w:orient="portrait"/>
      <w:pgMar w:top="1600" w:right="1600" w:bottom="1400" w:left="4400" w:header="720" w:footer="11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oefler Text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Di default"/>
      <w:tabs>
        <w:tab w:val="center" w:pos="2950"/>
        <w:tab w:val="right" w:pos="5900"/>
      </w:tabs>
      <w:spacing w:before="0" w:after="0"/>
      <w:jc w:val="left"/>
    </w:pPr>
    <w:r>
      <w:rPr>
        <w:rFonts w:ascii="Avenir Next Demi Bold" w:cs="Avenir Next Demi Bold" w:hAnsi="Avenir Next Demi Bold" w:eastAsia="Avenir Next Demi Bold"/>
        <w:b w:val="1"/>
        <w:bCs w:val="1"/>
        <w:color w:val="aaaaaa"/>
        <w:sz w:val="18"/>
        <w:szCs w:val="18"/>
      </w:rPr>
      <w:tab/>
      <w:tab/>
    </w:r>
    <w:r>
      <w:rPr>
        <w:rFonts w:ascii="Avenir Next Demi Bold" w:cs="Avenir Next Demi Bold" w:hAnsi="Avenir Next Demi Bold" w:eastAsia="Avenir Next Demi Bold"/>
        <w:b w:val="1"/>
        <w:bCs w:val="1"/>
        <w:color w:val="aaaaaa"/>
        <w:sz w:val="18"/>
        <w:szCs w:val="18"/>
      </w:rPr>
      <w:fldChar w:fldCharType="begin" w:fldLock="0"/>
    </w:r>
    <w:r>
      <w:rPr>
        <w:rFonts w:ascii="Avenir Next Demi Bold" w:cs="Avenir Next Demi Bold" w:hAnsi="Avenir Next Demi Bold" w:eastAsia="Avenir Next Demi Bold"/>
        <w:b w:val="1"/>
        <w:bCs w:val="1"/>
        <w:color w:val="aaaaaa"/>
        <w:sz w:val="18"/>
        <w:szCs w:val="18"/>
      </w:rPr>
      <w:t xml:space="preserve"> PAGE </w:t>
    </w:r>
    <w:r>
      <w:rPr>
        <w:rFonts w:ascii="Avenir Next Demi Bold" w:cs="Avenir Next Demi Bold" w:hAnsi="Avenir Next Demi Bold" w:eastAsia="Avenir Next Demi Bold"/>
        <w:b w:val="1"/>
        <w:bCs w:val="1"/>
        <w:color w:val="aaaaaa"/>
        <w:sz w:val="18"/>
        <w:szCs w:val="18"/>
      </w:rPr>
      <w:fldChar w:fldCharType="separate" w:fldLock="0"/>
    </w:r>
    <w:r>
      <w:rPr>
        <w:rFonts w:ascii="Avenir Next Demi Bold" w:cs="Avenir Next Demi Bold" w:hAnsi="Avenir Next Demi Bold" w:eastAsia="Avenir Next Demi Bold"/>
        <w:b w:val="1"/>
        <w:bCs w:val="1"/>
        <w:color w:val="aaaaaa"/>
        <w:sz w:val="18"/>
        <w:szCs w:val="18"/>
      </w:rPr>
      <w:t>2</w:t>
    </w:r>
    <w:r>
      <w:rPr>
        <w:rFonts w:ascii="Avenir Next Demi Bold" w:cs="Avenir Next Demi Bold" w:hAnsi="Avenir Next Demi Bold" w:eastAsia="Avenir Next Demi Bold"/>
        <w:b w:val="1"/>
        <w:bCs w:val="1"/>
        <w:color w:val="aaaaaa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Di default"/>
      <w:tabs>
        <w:tab w:val="center" w:pos="2950"/>
        <w:tab w:val="right" w:pos="5900"/>
      </w:tabs>
      <w:spacing w:before="0" w:after="0"/>
      <w:jc w:val="left"/>
    </w:pPr>
    <w:r>
      <w:rPr>
        <w:rFonts w:ascii="Avenir Next Demi Bold"/>
        <w:b w:val="1"/>
        <w:bCs w:val="1"/>
        <w:color w:val="aaaaaa"/>
        <w:sz w:val="18"/>
        <w:szCs w:val="18"/>
      </w:rPr>
      <w:tab/>
      <w:tab/>
    </w:r>
    <w:r>
      <w:rPr>
        <w:rFonts w:ascii="Avenir Next Demi Bold"/>
        <w:b w:val="1"/>
        <w:bCs w:val="1"/>
        <w:color w:val="aaaaaa"/>
        <w:sz w:val="18"/>
        <w:szCs w:val="18"/>
      </w:rPr>
      <w:fldChar w:fldCharType="begin" w:fldLock="0"/>
    </w:r>
    <w:r>
      <w:rPr>
        <w:rFonts w:ascii="Avenir Next Demi Bold"/>
        <w:b w:val="1"/>
        <w:bCs w:val="1"/>
        <w:color w:val="aaaaaa"/>
        <w:sz w:val="18"/>
        <w:szCs w:val="18"/>
      </w:rPr>
      <w:t xml:space="preserve"> DATE \@ "dd MMMM y" </w:t>
    </w:r>
    <w:r>
      <w:rPr>
        <w:rFonts w:ascii="Avenir Next Demi Bold"/>
        <w:b w:val="1"/>
        <w:bCs w:val="1"/>
        <w:color w:val="aaaaaa"/>
        <w:sz w:val="18"/>
        <w:szCs w:val="18"/>
      </w:rPr>
      <w:fldChar w:fldCharType="separate" w:fldLock="0"/>
    </w:r>
    <w:r>
      <w:rPr>
        <w:rFonts w:ascii="Avenir Next Demi Bold"/>
        <w:b w:val="1"/>
        <w:bCs w:val="1"/>
        <w:color w:val="aaaaaa"/>
        <w:sz w:val="18"/>
        <w:szCs w:val="18"/>
        <w:rtl w:val="0"/>
        <w:lang w:val="it-IT"/>
      </w:rPr>
      <w:t>13 luglio 2014</w:t>
    </w:r>
    <w:r>
      <w:rPr>
        <w:rFonts w:ascii="Avenir Next Demi Bold" w:cs="Avenir Next Demi Bold" w:hAnsi="Avenir Next Demi Bold" w:eastAsia="Avenir Next Demi Bold"/>
        <w:b w:val="1"/>
        <w:bCs w:val="1"/>
        <w:color w:val="aaaaaa"/>
        <w:sz w:val="18"/>
        <w:szCs w:val="18"/>
      </w:rPr>
      <w:fldChar w:fldCharType="end" w:fldLock="1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180" w:line="288" w:lineRule="auto"/>
      <w:ind w:left="0" w:right="0" w:firstLine="0"/>
      <w:jc w:val="left"/>
      <w:outlineLvl w:val="9"/>
    </w:pPr>
    <w:rPr>
      <w:rFonts w:ascii="Hoefler T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180" w:line="288" w:lineRule="auto"/>
      <w:ind w:left="0" w:right="0" w:firstLine="0"/>
      <w:jc w:val="left"/>
      <w:outlineLvl w:val="9"/>
    </w:pPr>
    <w:rPr>
      <w:rFonts w:ascii="Hoefler Text" w:cs="Hoefler Text" w:hAnsi="Hoefler Text" w:eastAsia="Hoefler T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tichetta scura">
    <w:name w:val="Etichetta scura"/>
    <w:next w:val="Etichetta scu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Next Demi Bold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b4b4b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character" w:styleId="Enfasi">
    <w:name w:val="Enfasi"/>
    <w:rPr>
      <w:rFonts w:ascii="Times New Roman" w:cs="Arial Unicode MS" w:hAnsi="Arial Unicode MS" w:eastAsia="Arial Unicode MS"/>
      <w:b w:val="1"/>
      <w:bCs w:val="1"/>
      <w:i w:val="0"/>
      <w:iCs w:val="0"/>
      <w:lang w:val="it-IT"/>
    </w:rPr>
  </w:style>
  <w:style w:type="paragraph" w:styleId="Didascalia">
    <w:name w:val="Didascalia"/>
    <w:next w:val="Didascal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180" w:line="288" w:lineRule="auto"/>
      <w:ind w:left="0" w:right="0" w:firstLine="0"/>
      <w:jc w:val="left"/>
      <w:outlineLvl w:val="9"/>
    </w:pPr>
    <w:rPr>
      <w:rFonts w:ascii="Avenir Next Demi Bold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929292"/>
      <w:spacing w:val="0"/>
      <w:kern w:val="0"/>
      <w:position w:val="0"/>
      <w:sz w:val="18"/>
      <w:szCs w:val="18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8_Journal_Newsletter">
  <a:themeElements>
    <a:clrScheme name="08_Journal_Newsletter">
      <a:dk1>
        <a:srgbClr val="FFFFFF"/>
      </a:dk1>
      <a:lt1>
        <a:srgbClr val="00918B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Journal_Newsletter">
      <a:majorFont>
        <a:latin typeface="Hoefler Text"/>
        <a:ea typeface="Hoefler Text"/>
        <a:cs typeface="Hoefler Text"/>
      </a:majorFont>
      <a:minorFont>
        <a:latin typeface="Avenir Next Ultra Light"/>
        <a:ea typeface="Avenir Next Ultra Light"/>
        <a:cs typeface="Avenir Next Ultr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127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12700" dir="5400000">
              <a:srgbClr val="000000">
                <a:alpha val="50000"/>
              </a:srgbClr>
            </a:outerShdw>
          </a:effectLst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>
          <a:outerShdw sx="100000" sy="100000" kx="0" ky="0" algn="b" rotWithShape="0" blurRad="38100" dist="127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E324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